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9B59D1" w14:textId="62CC26E1" w:rsidR="006C5630" w:rsidRPr="00870FC5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 w:rsidR="001644F9">
        <w:rPr>
          <w:rFonts w:ascii="Arial" w:hAnsi="Arial" w:cs="Arial"/>
          <w:b/>
          <w:sz w:val="24"/>
          <w:szCs w:val="24"/>
          <w:lang w:eastAsia="zh-CN"/>
        </w:rPr>
        <w:t>112bis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="00D84BD0">
        <w:rPr>
          <w:rFonts w:ascii="Arial" w:eastAsia="MS Mincho" w:hAnsi="Arial" w:cs="Arial"/>
          <w:b/>
          <w:sz w:val="24"/>
          <w:szCs w:val="24"/>
        </w:rPr>
        <w:t>R4-2</w:t>
      </w:r>
      <w:r w:rsidR="00E76B29">
        <w:rPr>
          <w:rFonts w:ascii="Arial" w:eastAsia="MS Mincho" w:hAnsi="Arial" w:cs="Arial"/>
          <w:b/>
          <w:sz w:val="24"/>
          <w:szCs w:val="24"/>
        </w:rPr>
        <w:t>4</w:t>
      </w:r>
      <w:r w:rsidR="001644F9">
        <w:rPr>
          <w:rFonts w:ascii="Arial" w:eastAsia="MS Mincho" w:hAnsi="Arial" w:cs="Arial"/>
          <w:b/>
          <w:sz w:val="24"/>
          <w:szCs w:val="24"/>
        </w:rPr>
        <w:t>1</w:t>
      </w:r>
      <w:r w:rsidR="00F13E1F">
        <w:rPr>
          <w:rFonts w:ascii="Arial" w:eastAsia="MS Mincho" w:hAnsi="Arial" w:cs="Arial"/>
          <w:b/>
          <w:sz w:val="24"/>
          <w:szCs w:val="24"/>
        </w:rPr>
        <w:t>6129</w:t>
      </w:r>
    </w:p>
    <w:p w14:paraId="0ED16545" w14:textId="77D98F69" w:rsidR="0068254F" w:rsidRPr="00881E60" w:rsidRDefault="00202765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Hefei, China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 xml:space="preserve">Oct </w:t>
      </w:r>
      <w:r w:rsidR="00AE614E">
        <w:rPr>
          <w:rFonts w:ascii="Arial" w:hAnsi="Arial"/>
          <w:b/>
          <w:sz w:val="24"/>
          <w:szCs w:val="24"/>
          <w:lang w:eastAsia="zh-CN"/>
        </w:rPr>
        <w:t>14</w:t>
      </w:r>
      <w:r w:rsidR="00AE614E" w:rsidRPr="00AE614E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="00AE614E">
        <w:rPr>
          <w:rFonts w:ascii="Arial" w:hAnsi="Arial"/>
          <w:b/>
          <w:sz w:val="24"/>
          <w:szCs w:val="24"/>
          <w:lang w:eastAsia="zh-CN"/>
        </w:rPr>
        <w:t xml:space="preserve"> – 18</w:t>
      </w:r>
      <w:r w:rsidR="00AE614E" w:rsidRPr="00AE614E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="00AE614E">
        <w:rPr>
          <w:rFonts w:ascii="Arial" w:hAnsi="Arial"/>
          <w:b/>
          <w:sz w:val="24"/>
          <w:szCs w:val="24"/>
          <w:lang w:eastAsia="zh-CN"/>
        </w:rPr>
        <w:t>,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>202</w:t>
      </w:r>
      <w:r w:rsidR="00E76B29">
        <w:rPr>
          <w:rFonts w:ascii="Arial" w:hAnsi="Arial"/>
          <w:b/>
          <w:sz w:val="24"/>
          <w:szCs w:val="24"/>
          <w:lang w:eastAsia="zh-CN"/>
        </w:rPr>
        <w:t>4</w:t>
      </w:r>
    </w:p>
    <w:p w14:paraId="1226C057" w14:textId="1B95961B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C53399" w:rsidRPr="00C53399">
        <w:rPr>
          <w:rFonts w:ascii="Arial" w:hAnsi="Arial" w:cs="Arial"/>
          <w:b/>
          <w:sz w:val="22"/>
        </w:rPr>
        <w:t>Further discussion on MPR applicability for FR1 intra-band UL CA</w:t>
      </w:r>
    </w:p>
    <w:p w14:paraId="73AD8CE3" w14:textId="408D7EE6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FC3DF2">
        <w:rPr>
          <w:rFonts w:ascii="Arial" w:hAnsi="Arial" w:cs="Arial"/>
          <w:b/>
          <w:sz w:val="22"/>
        </w:rPr>
        <w:t>6</w:t>
      </w:r>
      <w:r w:rsidR="00280D59" w:rsidRPr="00AA4927">
        <w:rPr>
          <w:rFonts w:ascii="Arial" w:hAnsi="Arial" w:cs="Arial"/>
          <w:b/>
          <w:bCs/>
          <w:sz w:val="22"/>
          <w:lang w:eastAsia="zh-CN"/>
        </w:rPr>
        <w:t>.</w:t>
      </w:r>
      <w:r w:rsidR="00FC3DF2">
        <w:rPr>
          <w:rFonts w:ascii="Arial" w:hAnsi="Arial" w:cs="Arial"/>
          <w:b/>
          <w:bCs/>
          <w:sz w:val="22"/>
          <w:lang w:eastAsia="zh-CN"/>
        </w:rPr>
        <w:t>1</w:t>
      </w:r>
      <w:r w:rsidR="00CD6A21">
        <w:rPr>
          <w:rFonts w:ascii="Arial" w:hAnsi="Arial" w:cs="Arial"/>
          <w:b/>
          <w:bCs/>
          <w:sz w:val="22"/>
          <w:lang w:eastAsia="zh-CN"/>
        </w:rPr>
        <w:t>.</w:t>
      </w:r>
      <w:r w:rsidR="00FC3DF2">
        <w:rPr>
          <w:rFonts w:ascii="Arial" w:hAnsi="Arial" w:cs="Arial"/>
          <w:b/>
          <w:bCs/>
          <w:sz w:val="22"/>
          <w:lang w:eastAsia="zh-CN"/>
        </w:rPr>
        <w:t>1.2.</w:t>
      </w:r>
      <w:r w:rsidR="00C53399">
        <w:rPr>
          <w:rFonts w:ascii="Arial" w:hAnsi="Arial" w:cs="Arial"/>
          <w:b/>
          <w:bCs/>
          <w:sz w:val="22"/>
          <w:lang w:eastAsia="zh-CN"/>
        </w:rPr>
        <w:t>2</w:t>
      </w:r>
    </w:p>
    <w:p w14:paraId="6402E503" w14:textId="6B025543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1644F9">
        <w:rPr>
          <w:rFonts w:ascii="Arial" w:hAnsi="Arial" w:cs="Arial"/>
          <w:b/>
          <w:sz w:val="22"/>
        </w:rPr>
        <w:t>CATT</w:t>
      </w:r>
    </w:p>
    <w:p w14:paraId="5E188A5E" w14:textId="7F9FD605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1644F9" w:rsidRPr="00AA4927">
        <w:rPr>
          <w:rFonts w:ascii="Arial" w:hAnsi="Arial" w:cs="Arial"/>
          <w:b/>
          <w:bCs/>
          <w:sz w:val="22"/>
          <w:lang w:eastAsia="zh-CN"/>
        </w:rPr>
        <w:t>Discussion</w:t>
      </w:r>
    </w:p>
    <w:p w14:paraId="6E810FAA" w14:textId="4CCB2F9A" w:rsidR="00EF3FF4" w:rsidRPr="00AB3D40" w:rsidRDefault="009267C2" w:rsidP="003E08FC">
      <w:pPr>
        <w:pStyle w:val="Heading1"/>
        <w:rPr>
          <w:lang w:eastAsia="zh-CN"/>
        </w:rPr>
      </w:pPr>
      <w:r>
        <w:t>1 Introduction</w:t>
      </w:r>
    </w:p>
    <w:p w14:paraId="5CDD1EB3" w14:textId="3F9A64B2" w:rsidR="00B4053B" w:rsidRDefault="0022367C" w:rsidP="007714BA">
      <w:pPr>
        <w:pStyle w:val="B1"/>
        <w:ind w:left="0" w:firstLine="0"/>
        <w:rPr>
          <w:lang w:eastAsia="zh-CN"/>
        </w:rPr>
      </w:pPr>
      <w:r>
        <w:rPr>
          <w:lang w:eastAsia="zh-CN"/>
        </w:rPr>
        <w:t>In RAN4#112, open issues were identified for MPR applicability for FR1 intra-band UL CA [1]</w:t>
      </w:r>
      <w:r w:rsidR="003C61BE">
        <w:rPr>
          <w:lang w:eastAsia="zh-CN"/>
        </w:rPr>
        <w:t>, and some of these open issues are listed below</w:t>
      </w:r>
      <w:r>
        <w:rPr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2A39C8" w:rsidRPr="002A39C8" w14:paraId="30FC6AAB" w14:textId="77777777" w:rsidTr="002A39C8">
        <w:tc>
          <w:tcPr>
            <w:tcW w:w="10457" w:type="dxa"/>
          </w:tcPr>
          <w:p w14:paraId="0D7A60E5" w14:textId="77777777" w:rsidR="002A39C8" w:rsidRPr="002A39C8" w:rsidRDefault="002A39C8" w:rsidP="002A39C8">
            <w:pPr>
              <w:pStyle w:val="Heading4"/>
              <w:spacing w:before="0" w:after="60"/>
              <w:rPr>
                <w:rFonts w:ascii="Times New Roman" w:hAnsi="Times New Roman"/>
                <w:b/>
                <w:i/>
                <w:iCs/>
                <w:color w:val="000000" w:themeColor="text1"/>
                <w:sz w:val="16"/>
                <w:szCs w:val="16"/>
                <w:u w:val="single"/>
                <w:lang w:val="en-US" w:eastAsia="ko-KR"/>
              </w:rPr>
            </w:pPr>
            <w:r w:rsidRPr="002A39C8">
              <w:rPr>
                <w:rFonts w:ascii="Times New Roman" w:hAnsi="Times New Roman"/>
                <w:b/>
                <w:i/>
                <w:iCs/>
                <w:color w:val="000000" w:themeColor="text1"/>
                <w:sz w:val="16"/>
                <w:szCs w:val="16"/>
                <w:u w:val="single"/>
                <w:lang w:val="en-US" w:eastAsia="ko-KR"/>
              </w:rPr>
              <w:t xml:space="preserve">Issue 2-1-1: </w:t>
            </w:r>
            <w:bookmarkStart w:id="0" w:name="_Hlk179190259"/>
            <w:r w:rsidRPr="002A39C8">
              <w:rPr>
                <w:rFonts w:ascii="Times New Roman" w:hAnsi="Times New Roman"/>
                <w:b/>
                <w:i/>
                <w:iCs/>
                <w:color w:val="000000" w:themeColor="text1"/>
                <w:sz w:val="16"/>
                <w:szCs w:val="16"/>
                <w:u w:val="single"/>
                <w:lang w:val="en-US"/>
              </w:rPr>
              <w:t>Applicable MPR for intra-band contiguous CA with single activated cell</w:t>
            </w:r>
            <w:bookmarkEnd w:id="0"/>
          </w:p>
          <w:p w14:paraId="2AE3FA2C" w14:textId="77777777" w:rsidR="002A39C8" w:rsidRPr="002A39C8" w:rsidRDefault="002A39C8" w:rsidP="002A39C8">
            <w:pPr>
              <w:pStyle w:val="ListParagraph"/>
              <w:numPr>
                <w:ilvl w:val="0"/>
                <w:numId w:val="32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i/>
                <w:iCs/>
                <w:color w:val="000000" w:themeColor="text1"/>
                <w:sz w:val="16"/>
                <w:szCs w:val="16"/>
                <w:lang w:eastAsia="zh-CN"/>
              </w:rPr>
            </w:pPr>
            <w:r w:rsidRPr="002A39C8"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  <w:t xml:space="preserve">Proposals </w:t>
            </w:r>
          </w:p>
          <w:p w14:paraId="070140AE" w14:textId="77777777" w:rsidR="002A39C8" w:rsidRPr="002A39C8" w:rsidRDefault="002A39C8" w:rsidP="002A39C8">
            <w:pPr>
              <w:pStyle w:val="ListParagraph"/>
              <w:numPr>
                <w:ilvl w:val="1"/>
                <w:numId w:val="32"/>
              </w:numPr>
              <w:overflowPunct/>
              <w:autoSpaceDE/>
              <w:autoSpaceDN/>
              <w:adjustRightInd/>
              <w:spacing w:after="120"/>
              <w:ind w:left="1440" w:firstLineChars="0"/>
              <w:jc w:val="both"/>
              <w:textAlignment w:val="auto"/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</w:pPr>
            <w:r w:rsidRPr="002A39C8"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  <w:t>Proposal 1:</w:t>
            </w:r>
            <w:r w:rsidRPr="002A39C8">
              <w:rPr>
                <w:i/>
                <w:iCs/>
                <w:color w:val="000000" w:themeColor="text1"/>
                <w:sz w:val="16"/>
                <w:szCs w:val="16"/>
              </w:rPr>
              <w:t xml:space="preserve"> For PC3/PC2 intra-band contiguous carrier aggregation with single CC with activated cell, the single CC MPR requirements can apply. (Samsung)</w:t>
            </w:r>
          </w:p>
          <w:p w14:paraId="561B0CC1" w14:textId="77777777" w:rsidR="002A39C8" w:rsidRPr="002A39C8" w:rsidRDefault="002A39C8" w:rsidP="002A39C8">
            <w:pPr>
              <w:pStyle w:val="ListParagraph"/>
              <w:numPr>
                <w:ilvl w:val="1"/>
                <w:numId w:val="32"/>
              </w:numPr>
              <w:overflowPunct/>
              <w:autoSpaceDE/>
              <w:autoSpaceDN/>
              <w:adjustRightInd/>
              <w:spacing w:after="120"/>
              <w:ind w:left="1440" w:firstLineChars="0"/>
              <w:jc w:val="both"/>
              <w:textAlignment w:val="auto"/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</w:pPr>
            <w:r w:rsidRPr="002A39C8"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  <w:t xml:space="preserve">Proposal 2: For PC3/PC2 intra-band contiguous carrier aggregation with single CC with activated cell, the following MPR requirements are applied (Samsung, </w:t>
            </w:r>
            <w:proofErr w:type="gramStart"/>
            <w:r w:rsidRPr="002A39C8"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  <w:t>CATT,,</w:t>
            </w:r>
            <w:proofErr w:type="gramEnd"/>
            <w:r w:rsidRPr="002A39C8"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  <w:t xml:space="preserve"> Nokia, Huawei, LGE)</w:t>
            </w:r>
          </w:p>
          <w:p w14:paraId="66C53522" w14:textId="77777777" w:rsidR="002A39C8" w:rsidRPr="002A39C8" w:rsidRDefault="002A39C8" w:rsidP="002A39C8">
            <w:pPr>
              <w:pStyle w:val="ListParagraph"/>
              <w:numPr>
                <w:ilvl w:val="2"/>
                <w:numId w:val="32"/>
              </w:numPr>
              <w:overflowPunct/>
              <w:autoSpaceDE/>
              <w:autoSpaceDN/>
              <w:adjustRightInd/>
              <w:spacing w:after="120"/>
              <w:ind w:left="2376" w:firstLineChars="0"/>
              <w:jc w:val="both"/>
              <w:textAlignment w:val="auto"/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</w:pPr>
            <w:r w:rsidRPr="002A39C8"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  <w:t>MPR defined in Table 6.2.2-1 applies for UE power class 3 CA bandwidth classes B and C;</w:t>
            </w:r>
          </w:p>
          <w:p w14:paraId="36943E35" w14:textId="77777777" w:rsidR="002A39C8" w:rsidRPr="002A39C8" w:rsidRDefault="002A39C8" w:rsidP="002A39C8">
            <w:pPr>
              <w:pStyle w:val="ListParagraph"/>
              <w:numPr>
                <w:ilvl w:val="2"/>
                <w:numId w:val="32"/>
              </w:numPr>
              <w:overflowPunct/>
              <w:autoSpaceDE/>
              <w:autoSpaceDN/>
              <w:adjustRightInd/>
              <w:spacing w:after="120"/>
              <w:ind w:left="2376" w:firstLineChars="0"/>
              <w:jc w:val="both"/>
              <w:textAlignment w:val="auto"/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</w:pPr>
            <w:r w:rsidRPr="002A39C8"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  <w:t xml:space="preserve">MPR defined in Table 6.2D.2-1 applies for power class 2 CA bandwidth classes B and C when </w:t>
            </w:r>
            <w:proofErr w:type="spellStart"/>
            <w:r w:rsidRPr="002A39C8"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  <w:t>TxD</w:t>
            </w:r>
            <w:proofErr w:type="spellEnd"/>
            <w:r w:rsidRPr="002A39C8"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  <w:t xml:space="preserve"> capability is indicated;</w:t>
            </w:r>
          </w:p>
          <w:p w14:paraId="70233D76" w14:textId="77777777" w:rsidR="002A39C8" w:rsidRPr="002A39C8" w:rsidRDefault="002A39C8" w:rsidP="002A39C8">
            <w:pPr>
              <w:pStyle w:val="ListParagraph"/>
              <w:numPr>
                <w:ilvl w:val="2"/>
                <w:numId w:val="32"/>
              </w:numPr>
              <w:overflowPunct/>
              <w:autoSpaceDE/>
              <w:autoSpaceDN/>
              <w:adjustRightInd/>
              <w:spacing w:after="120"/>
              <w:ind w:left="2376" w:firstLineChars="0"/>
              <w:jc w:val="both"/>
              <w:textAlignment w:val="auto"/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</w:pPr>
            <w:r w:rsidRPr="002A39C8"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  <w:t xml:space="preserve">MPR defined in Table 6.2.2-2 applies for power class 2 CA bandwidth classes B and C when </w:t>
            </w:r>
            <w:proofErr w:type="spellStart"/>
            <w:r w:rsidRPr="002A39C8"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  <w:t>TxD</w:t>
            </w:r>
            <w:proofErr w:type="spellEnd"/>
            <w:r w:rsidRPr="002A39C8"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  <w:t xml:space="preserve"> capability is absent.</w:t>
            </w:r>
          </w:p>
          <w:p w14:paraId="12F9B947" w14:textId="77777777" w:rsidR="002A39C8" w:rsidRPr="002A39C8" w:rsidRDefault="002A39C8" w:rsidP="002A39C8">
            <w:pPr>
              <w:pStyle w:val="ListParagraph"/>
              <w:numPr>
                <w:ilvl w:val="0"/>
                <w:numId w:val="34"/>
              </w:numPr>
              <w:spacing w:after="120"/>
              <w:ind w:firstLineChars="0"/>
              <w:rPr>
                <w:rFonts w:eastAsia="Yu Mincho"/>
                <w:i/>
                <w:iCs/>
                <w:color w:val="000000" w:themeColor="text1"/>
                <w:sz w:val="16"/>
                <w:szCs w:val="16"/>
              </w:rPr>
            </w:pPr>
            <w:r w:rsidRPr="002A39C8"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  <w:t xml:space="preserve">Proposal 3: </w:t>
            </w:r>
            <w:r w:rsidRPr="002A39C8">
              <w:rPr>
                <w:i/>
                <w:iCs/>
                <w:color w:val="000000" w:themeColor="text1"/>
                <w:sz w:val="16"/>
                <w:szCs w:val="16"/>
                <w:lang w:eastAsia="zh-CN"/>
              </w:rPr>
              <w:t>For PC3 and PC2 contiguous UL CA use the corresponding single CC MPR when only 1 CC is activated and refer to the following MPR tables and corresponding configured Tx power requirements (Qualcomm).</w:t>
            </w:r>
          </w:p>
          <w:p w14:paraId="1145915E" w14:textId="77777777" w:rsidR="002A39C8" w:rsidRPr="002A39C8" w:rsidRDefault="002A39C8" w:rsidP="002A39C8">
            <w:pPr>
              <w:numPr>
                <w:ilvl w:val="4"/>
                <w:numId w:val="33"/>
              </w:numPr>
              <w:rPr>
                <w:rFonts w:eastAsia="Yu Mincho"/>
                <w:i/>
                <w:iCs/>
                <w:color w:val="000000" w:themeColor="text1"/>
                <w:sz w:val="16"/>
                <w:szCs w:val="16"/>
              </w:rPr>
            </w:pPr>
            <w:r w:rsidRPr="002A39C8">
              <w:rPr>
                <w:rFonts w:eastAsia="Yu Mincho"/>
                <w:i/>
                <w:iCs/>
                <w:color w:val="000000" w:themeColor="text1"/>
                <w:sz w:val="16"/>
                <w:szCs w:val="16"/>
              </w:rPr>
              <w:t xml:space="preserve">MPR defined in Table 6.2.2-1 applies for UE power class 3 CA bandwidth classes B and C, along with configured Tx power requirements for 6.2.4 </w:t>
            </w:r>
          </w:p>
          <w:p w14:paraId="34E67BF2" w14:textId="77777777" w:rsidR="002A39C8" w:rsidRPr="002A39C8" w:rsidRDefault="002A39C8" w:rsidP="002A39C8">
            <w:pPr>
              <w:numPr>
                <w:ilvl w:val="4"/>
                <w:numId w:val="33"/>
              </w:numPr>
              <w:rPr>
                <w:rFonts w:eastAsia="Yu Mincho"/>
                <w:i/>
                <w:iCs/>
                <w:color w:val="000000" w:themeColor="text1"/>
                <w:sz w:val="16"/>
                <w:szCs w:val="16"/>
              </w:rPr>
            </w:pPr>
            <w:r w:rsidRPr="002A39C8">
              <w:rPr>
                <w:rFonts w:eastAsia="Yu Mincho"/>
                <w:i/>
                <w:iCs/>
                <w:color w:val="000000" w:themeColor="text1"/>
                <w:sz w:val="16"/>
                <w:szCs w:val="16"/>
              </w:rPr>
              <w:t xml:space="preserve">MPR defined in Table 6.2D.2-1 applies for power class 2 CA bandwidth classes B and C when </w:t>
            </w:r>
            <w:proofErr w:type="spellStart"/>
            <w:r w:rsidRPr="002A39C8">
              <w:rPr>
                <w:rFonts w:eastAsia="Yu Mincho"/>
                <w:i/>
                <w:iCs/>
                <w:color w:val="000000" w:themeColor="text1"/>
                <w:sz w:val="16"/>
                <w:szCs w:val="16"/>
              </w:rPr>
              <w:t>TxD</w:t>
            </w:r>
            <w:proofErr w:type="spellEnd"/>
            <w:r w:rsidRPr="002A39C8">
              <w:rPr>
                <w:rFonts w:eastAsia="Yu Mincho"/>
                <w:i/>
                <w:iCs/>
                <w:color w:val="000000" w:themeColor="text1"/>
                <w:sz w:val="16"/>
                <w:szCs w:val="16"/>
              </w:rPr>
              <w:t xml:space="preserve"> capability is indicated, along with configured Tx power requirements for 6.2D.4  </w:t>
            </w:r>
          </w:p>
          <w:p w14:paraId="092DC09E" w14:textId="77777777" w:rsidR="002A39C8" w:rsidRPr="002A39C8" w:rsidRDefault="002A39C8" w:rsidP="002A39C8">
            <w:pPr>
              <w:numPr>
                <w:ilvl w:val="4"/>
                <w:numId w:val="33"/>
              </w:numPr>
              <w:rPr>
                <w:rFonts w:eastAsia="Yu Mincho"/>
                <w:i/>
                <w:iCs/>
                <w:color w:val="000000" w:themeColor="text1"/>
                <w:sz w:val="16"/>
                <w:szCs w:val="16"/>
              </w:rPr>
            </w:pPr>
            <w:r w:rsidRPr="002A39C8">
              <w:rPr>
                <w:rFonts w:eastAsia="Yu Mincho"/>
                <w:i/>
                <w:iCs/>
                <w:color w:val="000000" w:themeColor="text1"/>
                <w:sz w:val="16"/>
                <w:szCs w:val="16"/>
              </w:rPr>
              <w:t xml:space="preserve">MPR defined in Table 6.2.2-2 applies for power class 2 CA bandwidth classes B and C when </w:t>
            </w:r>
            <w:proofErr w:type="spellStart"/>
            <w:r w:rsidRPr="002A39C8">
              <w:rPr>
                <w:rFonts w:eastAsia="Yu Mincho"/>
                <w:i/>
                <w:iCs/>
                <w:color w:val="000000" w:themeColor="text1"/>
                <w:sz w:val="16"/>
                <w:szCs w:val="16"/>
              </w:rPr>
              <w:t>TxD</w:t>
            </w:r>
            <w:proofErr w:type="spellEnd"/>
            <w:r w:rsidRPr="002A39C8">
              <w:rPr>
                <w:rFonts w:eastAsia="Yu Mincho"/>
                <w:i/>
                <w:iCs/>
                <w:color w:val="000000" w:themeColor="text1"/>
                <w:sz w:val="16"/>
                <w:szCs w:val="16"/>
              </w:rPr>
              <w:t xml:space="preserve"> capability is absent, along with configured Tx power requirements for 6.2.4 </w:t>
            </w:r>
          </w:p>
          <w:p w14:paraId="3B432EBD" w14:textId="77777777" w:rsidR="002A39C8" w:rsidRPr="002A39C8" w:rsidRDefault="002A39C8" w:rsidP="002A39C8">
            <w:pPr>
              <w:pStyle w:val="ListParagraph"/>
              <w:numPr>
                <w:ilvl w:val="0"/>
                <w:numId w:val="32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</w:pPr>
            <w:r w:rsidRPr="002A39C8"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  <w:t>WF</w:t>
            </w:r>
          </w:p>
          <w:p w14:paraId="04D14287" w14:textId="0D73BA67" w:rsidR="002A39C8" w:rsidRPr="002A39C8" w:rsidRDefault="002A39C8" w:rsidP="002A39C8">
            <w:pPr>
              <w:pStyle w:val="ListParagraph"/>
              <w:numPr>
                <w:ilvl w:val="1"/>
                <w:numId w:val="32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</w:pPr>
            <w:r w:rsidRPr="002A39C8"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  <w:t>FFS in next meeting</w:t>
            </w:r>
          </w:p>
          <w:p w14:paraId="6AF1D57C" w14:textId="77777777" w:rsidR="002A39C8" w:rsidRPr="002A39C8" w:rsidRDefault="002A39C8" w:rsidP="002A39C8">
            <w:pPr>
              <w:pStyle w:val="Heading4"/>
              <w:spacing w:before="0" w:after="60"/>
              <w:rPr>
                <w:rFonts w:ascii="Times New Roman" w:hAnsi="Times New Roman"/>
                <w:b/>
                <w:i/>
                <w:iCs/>
                <w:color w:val="000000" w:themeColor="text1"/>
                <w:sz w:val="16"/>
                <w:szCs w:val="16"/>
                <w:u w:val="single"/>
                <w:lang w:val="en-US" w:eastAsia="ko-KR"/>
              </w:rPr>
            </w:pPr>
            <w:r w:rsidRPr="002A39C8">
              <w:rPr>
                <w:rFonts w:ascii="Times New Roman" w:hAnsi="Times New Roman"/>
                <w:b/>
                <w:i/>
                <w:iCs/>
                <w:color w:val="000000" w:themeColor="text1"/>
                <w:sz w:val="16"/>
                <w:szCs w:val="16"/>
                <w:u w:val="single"/>
                <w:lang w:val="en-US" w:eastAsia="ko-KR"/>
              </w:rPr>
              <w:t>Issue 2-1-2: Single CC CBW or aggregated CBW for applying requirements of ACLR/SEM/SE</w:t>
            </w:r>
          </w:p>
          <w:p w14:paraId="5A97E8D6" w14:textId="77777777" w:rsidR="002A39C8" w:rsidRPr="002A39C8" w:rsidRDefault="002A39C8" w:rsidP="002A39C8">
            <w:pPr>
              <w:pStyle w:val="ListParagraph"/>
              <w:numPr>
                <w:ilvl w:val="0"/>
                <w:numId w:val="32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i/>
                <w:iCs/>
                <w:color w:val="000000" w:themeColor="text1"/>
                <w:sz w:val="16"/>
                <w:szCs w:val="16"/>
                <w:lang w:eastAsia="zh-CN"/>
              </w:rPr>
            </w:pPr>
            <w:r w:rsidRPr="002A39C8"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  <w:t>Proposals</w:t>
            </w:r>
          </w:p>
          <w:p w14:paraId="10CC3E13" w14:textId="77777777" w:rsidR="002A39C8" w:rsidRPr="002A39C8" w:rsidRDefault="002A39C8" w:rsidP="002A39C8">
            <w:pPr>
              <w:pStyle w:val="ListParagraph"/>
              <w:numPr>
                <w:ilvl w:val="1"/>
                <w:numId w:val="32"/>
              </w:numPr>
              <w:overflowPunct/>
              <w:autoSpaceDE/>
              <w:autoSpaceDN/>
              <w:adjustRightInd/>
              <w:spacing w:after="120"/>
              <w:ind w:left="1440" w:firstLineChars="0"/>
              <w:jc w:val="both"/>
              <w:textAlignment w:val="auto"/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</w:pPr>
            <w:r w:rsidRPr="002A39C8"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  <w:t>Proposal 1: Integral region and boundary of spurious emissions/ACLR/SEM should be based on the activated CC CBW instead of aggregated CBW. (Samsung)</w:t>
            </w:r>
          </w:p>
          <w:p w14:paraId="06761AB3" w14:textId="77777777" w:rsidR="002A39C8" w:rsidRPr="002A39C8" w:rsidRDefault="002A39C8" w:rsidP="002A39C8">
            <w:pPr>
              <w:pStyle w:val="ListParagraph"/>
              <w:numPr>
                <w:ilvl w:val="1"/>
                <w:numId w:val="32"/>
              </w:numPr>
              <w:overflowPunct/>
              <w:autoSpaceDE/>
              <w:autoSpaceDN/>
              <w:adjustRightInd/>
              <w:spacing w:after="120"/>
              <w:ind w:left="1440" w:firstLineChars="0"/>
              <w:jc w:val="both"/>
              <w:textAlignment w:val="auto"/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</w:pPr>
            <w:r w:rsidRPr="002A39C8"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  <w:t>Proposal 2: When only 1 CC is activated the aggregated BW for CA should be used for evaluating metrics such as spurious emissions, SEM and ACLR. (Qualcomm, Huawei)</w:t>
            </w:r>
          </w:p>
          <w:p w14:paraId="7BEAF68D" w14:textId="77777777" w:rsidR="002A39C8" w:rsidRPr="002A39C8" w:rsidRDefault="002A39C8" w:rsidP="002A39C8">
            <w:pPr>
              <w:pStyle w:val="ListParagraph"/>
              <w:numPr>
                <w:ilvl w:val="0"/>
                <w:numId w:val="32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</w:pPr>
            <w:r w:rsidRPr="002A39C8"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  <w:t>WF</w:t>
            </w:r>
          </w:p>
          <w:p w14:paraId="54E12600" w14:textId="6FBD194D" w:rsidR="002A39C8" w:rsidRPr="002A39C8" w:rsidRDefault="002A39C8" w:rsidP="002A39C8">
            <w:pPr>
              <w:pStyle w:val="ListParagraph"/>
              <w:numPr>
                <w:ilvl w:val="1"/>
                <w:numId w:val="32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</w:pPr>
            <w:r w:rsidRPr="002A39C8"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  <w:t>FFS in next meeting</w:t>
            </w:r>
          </w:p>
          <w:p w14:paraId="5C7BB8D9" w14:textId="77777777" w:rsidR="002A39C8" w:rsidRPr="002A39C8" w:rsidRDefault="002A39C8" w:rsidP="002A39C8">
            <w:pPr>
              <w:pStyle w:val="Heading4"/>
              <w:spacing w:before="0" w:after="60"/>
              <w:rPr>
                <w:rFonts w:ascii="Times New Roman" w:hAnsi="Times New Roman"/>
                <w:b/>
                <w:i/>
                <w:iCs/>
                <w:color w:val="000000" w:themeColor="text1"/>
                <w:sz w:val="16"/>
                <w:szCs w:val="16"/>
                <w:u w:val="single"/>
                <w:lang w:val="en-US" w:eastAsia="ko-KR"/>
              </w:rPr>
            </w:pPr>
            <w:r w:rsidRPr="002A39C8">
              <w:rPr>
                <w:rFonts w:ascii="Times New Roman" w:hAnsi="Times New Roman"/>
                <w:b/>
                <w:i/>
                <w:iCs/>
                <w:color w:val="000000" w:themeColor="text1"/>
                <w:sz w:val="16"/>
                <w:szCs w:val="16"/>
                <w:u w:val="single"/>
                <w:lang w:val="en-US" w:eastAsia="ko-KR"/>
              </w:rPr>
              <w:t>Issue 2-1-3: Single CC or CA requirements of ACLR/SEM/SE applied for single activated cell</w:t>
            </w:r>
          </w:p>
          <w:p w14:paraId="116F4549" w14:textId="77777777" w:rsidR="002A39C8" w:rsidRPr="002A39C8" w:rsidRDefault="002A39C8" w:rsidP="002A39C8">
            <w:pPr>
              <w:pStyle w:val="ListParagraph"/>
              <w:numPr>
                <w:ilvl w:val="0"/>
                <w:numId w:val="32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i/>
                <w:iCs/>
                <w:color w:val="000000" w:themeColor="text1"/>
                <w:sz w:val="16"/>
                <w:szCs w:val="16"/>
                <w:lang w:eastAsia="zh-CN"/>
              </w:rPr>
            </w:pPr>
            <w:r w:rsidRPr="002A39C8"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  <w:t>Proposals</w:t>
            </w:r>
          </w:p>
          <w:p w14:paraId="74C1BCEF" w14:textId="77777777" w:rsidR="002A39C8" w:rsidRPr="002A39C8" w:rsidRDefault="002A39C8" w:rsidP="002A39C8">
            <w:pPr>
              <w:pStyle w:val="ListParagraph"/>
              <w:numPr>
                <w:ilvl w:val="1"/>
                <w:numId w:val="32"/>
              </w:numPr>
              <w:overflowPunct/>
              <w:autoSpaceDE/>
              <w:autoSpaceDN/>
              <w:adjustRightInd/>
              <w:spacing w:after="120"/>
              <w:ind w:left="1440" w:firstLineChars="0"/>
              <w:jc w:val="both"/>
              <w:textAlignment w:val="auto"/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</w:pPr>
            <w:r w:rsidRPr="002A39C8"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  <w:t>Proposal 1: Even when transmitted RBs are allocated in only one of the CC, the emissions requirement based on the configured intra-band contiguous ULCA are used (SEM, ACLR, spurious emissions) and all allocations can use the single CC MPR for inner. FFS if a similar approach is applicable to some additional emission requirements. (Skyworks)</w:t>
            </w:r>
          </w:p>
          <w:p w14:paraId="477A1E9A" w14:textId="77777777" w:rsidR="002A39C8" w:rsidRPr="002A39C8" w:rsidRDefault="002A39C8" w:rsidP="002A39C8">
            <w:pPr>
              <w:pStyle w:val="ListParagraph"/>
              <w:numPr>
                <w:ilvl w:val="1"/>
                <w:numId w:val="32"/>
              </w:numPr>
              <w:overflowPunct/>
              <w:autoSpaceDE/>
              <w:autoSpaceDN/>
              <w:adjustRightInd/>
              <w:spacing w:after="120"/>
              <w:ind w:left="1440" w:firstLineChars="0"/>
              <w:jc w:val="both"/>
              <w:textAlignment w:val="auto"/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</w:pPr>
            <w:r w:rsidRPr="002A39C8"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  <w:t>Proposal 2: Apply single carrier spurious emission/ACLR/SEM requirements for contiguous UL CA with only 1 CC transmitted. (CATT, Samsung, ZTE, vivo)</w:t>
            </w:r>
          </w:p>
          <w:p w14:paraId="32F4C480" w14:textId="77777777" w:rsidR="002A39C8" w:rsidRPr="002A39C8" w:rsidRDefault="002A39C8" w:rsidP="002A39C8">
            <w:pPr>
              <w:pStyle w:val="ListParagraph"/>
              <w:numPr>
                <w:ilvl w:val="1"/>
                <w:numId w:val="32"/>
              </w:numPr>
              <w:overflowPunct/>
              <w:autoSpaceDE/>
              <w:autoSpaceDN/>
              <w:adjustRightInd/>
              <w:spacing w:after="120"/>
              <w:ind w:left="1440" w:firstLineChars="0"/>
              <w:jc w:val="both"/>
              <w:textAlignment w:val="auto"/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</w:pPr>
            <w:r w:rsidRPr="002A39C8">
              <w:rPr>
                <w:rFonts w:eastAsia="SimSun" w:hint="eastAsia"/>
                <w:i/>
                <w:iCs/>
                <w:color w:val="000000" w:themeColor="text1"/>
                <w:sz w:val="16"/>
                <w:szCs w:val="16"/>
                <w:lang w:eastAsia="zh-CN"/>
              </w:rPr>
              <w:t>P</w:t>
            </w:r>
            <w:r w:rsidRPr="002A39C8"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  <w:t>roposal 3: For Rel-19 MPR applicability for FR1 intra-band contiguous UL CA, the spurious emissions/ACLR/SEM are kept for aggregated/configured CBW. (Huawei, Ericsson)</w:t>
            </w:r>
          </w:p>
          <w:p w14:paraId="73233212" w14:textId="77777777" w:rsidR="002A39C8" w:rsidRPr="002A39C8" w:rsidRDefault="002A39C8" w:rsidP="002A39C8">
            <w:pPr>
              <w:pStyle w:val="ListParagraph"/>
              <w:numPr>
                <w:ilvl w:val="0"/>
                <w:numId w:val="32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</w:pPr>
            <w:r w:rsidRPr="002A39C8"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  <w:t>WF</w:t>
            </w:r>
          </w:p>
          <w:p w14:paraId="74457D3C" w14:textId="13027AA9" w:rsidR="002A39C8" w:rsidRPr="002A39C8" w:rsidRDefault="002A39C8" w:rsidP="002A39C8">
            <w:pPr>
              <w:pStyle w:val="ListParagraph"/>
              <w:numPr>
                <w:ilvl w:val="1"/>
                <w:numId w:val="32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</w:pPr>
            <w:r w:rsidRPr="002A39C8"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  <w:t>FFS in next meeting</w:t>
            </w:r>
          </w:p>
          <w:p w14:paraId="3CF2282F" w14:textId="2115D616" w:rsidR="002A39C8" w:rsidRPr="002A39C8" w:rsidRDefault="002A39C8" w:rsidP="003C61BE">
            <w:pPr>
              <w:pStyle w:val="ListParagraph"/>
              <w:overflowPunct/>
              <w:autoSpaceDE/>
              <w:autoSpaceDN/>
              <w:adjustRightInd/>
              <w:spacing w:after="120"/>
              <w:ind w:left="1440" w:firstLineChars="0" w:firstLine="0"/>
              <w:textAlignment w:val="auto"/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</w:pPr>
          </w:p>
        </w:tc>
      </w:tr>
    </w:tbl>
    <w:p w14:paraId="0C759516" w14:textId="77777777" w:rsidR="0022367C" w:rsidRDefault="0022367C" w:rsidP="007714BA">
      <w:pPr>
        <w:pStyle w:val="B1"/>
        <w:ind w:left="0" w:firstLine="0"/>
        <w:rPr>
          <w:lang w:eastAsia="zh-CN"/>
        </w:rPr>
      </w:pPr>
    </w:p>
    <w:p w14:paraId="146E7280" w14:textId="77AA89EF" w:rsidR="0022367C" w:rsidRDefault="004B72C8" w:rsidP="007714BA">
      <w:pPr>
        <w:pStyle w:val="B1"/>
        <w:ind w:left="0" w:firstLine="0"/>
        <w:rPr>
          <w:lang w:eastAsia="zh-CN"/>
        </w:rPr>
      </w:pPr>
      <w:r>
        <w:rPr>
          <w:lang w:eastAsia="zh-CN"/>
        </w:rPr>
        <w:t>In this contribution, we present our views on these open issues.</w:t>
      </w:r>
    </w:p>
    <w:p w14:paraId="29EF9E55" w14:textId="2B110BA6" w:rsidR="00163132" w:rsidRPr="00AB3D40" w:rsidRDefault="009267C2" w:rsidP="003E08FC">
      <w:pPr>
        <w:pStyle w:val="Heading1"/>
        <w:rPr>
          <w:lang w:eastAsia="zh-CN"/>
        </w:rPr>
      </w:pPr>
      <w:r>
        <w:lastRenderedPageBreak/>
        <w:t>2 Discussion</w:t>
      </w:r>
    </w:p>
    <w:p w14:paraId="74140C72" w14:textId="1E765A5F" w:rsidR="00163132" w:rsidRPr="00F13E1F" w:rsidRDefault="002A39C8" w:rsidP="009267C2">
      <w:pPr>
        <w:pStyle w:val="B1"/>
        <w:ind w:left="0" w:firstLine="0"/>
        <w:rPr>
          <w:b/>
          <w:bCs/>
          <w:u w:val="single"/>
          <w:lang w:eastAsia="zh-CN"/>
        </w:rPr>
      </w:pPr>
      <w:r w:rsidRPr="00F13E1F">
        <w:rPr>
          <w:b/>
          <w:bCs/>
          <w:u w:val="single"/>
          <w:lang w:eastAsia="zh-CN"/>
        </w:rPr>
        <w:t>Applicable MPR for intra-band contiguous CA with single activated cell</w:t>
      </w:r>
    </w:p>
    <w:p w14:paraId="644D1EA9" w14:textId="7BD873B5" w:rsidR="002A39C8" w:rsidRDefault="00E32171" w:rsidP="00E32171">
      <w:pPr>
        <w:pStyle w:val="B1"/>
        <w:ind w:left="0" w:firstLine="0"/>
        <w:jc w:val="center"/>
        <w:rPr>
          <w:lang w:eastAsia="zh-CN"/>
        </w:rPr>
      </w:pPr>
      <w:r>
        <w:rPr>
          <w:noProof/>
        </w:rPr>
        <w:drawing>
          <wp:inline distT="0" distB="0" distL="0" distR="0" wp14:anchorId="39DBDFB0" wp14:editId="18767469">
            <wp:extent cx="4762680" cy="1793229"/>
            <wp:effectExtent l="0" t="0" r="0" b="0"/>
            <wp:docPr id="13298050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980509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25496" cy="1816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564095" w14:textId="1115B9B5" w:rsidR="00E32171" w:rsidRDefault="00B701F7" w:rsidP="00D22174">
      <w:pPr>
        <w:pStyle w:val="B1"/>
        <w:ind w:left="0" w:firstLine="0"/>
        <w:jc w:val="center"/>
        <w:rPr>
          <w:lang w:eastAsia="zh-CN"/>
        </w:rPr>
      </w:pPr>
      <w:r w:rsidRPr="00B41863">
        <w:rPr>
          <w:noProof/>
          <w:lang w:eastAsia="ja-JP"/>
        </w:rPr>
        <w:drawing>
          <wp:inline distT="0" distB="0" distL="0" distR="0" wp14:anchorId="09820E61" wp14:editId="135CA408">
            <wp:extent cx="4962525" cy="1790700"/>
            <wp:effectExtent l="0" t="0" r="9525" b="0"/>
            <wp:docPr id="207572452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252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CE0964" w14:textId="311402D9" w:rsidR="00E32171" w:rsidRDefault="00D22174" w:rsidP="009267C2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When comparing PC3 MPR values for single carrier and intra-band contiguous CA, a few dBs difference could be observed. If a UE in RRC_CONNECTED state is reconfigured from a single cell to two cells with intra-band contiguous CA, but UL transmission is still limited to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 xml:space="preserve">, then due to MPR difference between single carrier and intra-band contiguous CA, the UE has to lower the UL transmission, in this case, the UL quality becomes worse with the addition of an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even though UL transmission is the same on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 xml:space="preserve"> only. This is not reasonable in the real field, and the issue was created arbitrarily and should be corrected. The solution is to apply the single carrier MPR for intra-band contiguous CA when only single UL is transmitted. </w:t>
      </w:r>
    </w:p>
    <w:p w14:paraId="0215F80D" w14:textId="670F38F1" w:rsidR="00D22174" w:rsidRDefault="00D22174" w:rsidP="009267C2">
      <w:pPr>
        <w:pStyle w:val="B1"/>
        <w:ind w:left="0" w:firstLine="0"/>
        <w:rPr>
          <w:lang w:eastAsia="zh-CN"/>
        </w:rPr>
      </w:pPr>
      <w:r w:rsidRPr="00D22174">
        <w:rPr>
          <w:b/>
          <w:bCs/>
          <w:lang w:eastAsia="zh-CN"/>
        </w:rPr>
        <w:t>Observation:</w:t>
      </w:r>
      <w:r>
        <w:rPr>
          <w:lang w:eastAsia="zh-CN"/>
        </w:rPr>
        <w:t xml:space="preserve"> </w:t>
      </w:r>
      <w:r w:rsidRPr="00D22174">
        <w:rPr>
          <w:b/>
          <w:bCs/>
          <w:lang w:eastAsia="zh-CN"/>
        </w:rPr>
        <w:t xml:space="preserve">Even with the same single UL transmission on one carrier, the UL performance will be degraded with the addition of an intra-band contiguous </w:t>
      </w:r>
      <w:proofErr w:type="spellStart"/>
      <w:r w:rsidRPr="00D22174">
        <w:rPr>
          <w:b/>
          <w:bCs/>
          <w:lang w:eastAsia="zh-CN"/>
        </w:rPr>
        <w:t>SCell</w:t>
      </w:r>
      <w:proofErr w:type="spellEnd"/>
      <w:r w:rsidRPr="00D22174">
        <w:rPr>
          <w:b/>
          <w:bCs/>
          <w:lang w:eastAsia="zh-CN"/>
        </w:rPr>
        <w:t xml:space="preserve"> due to MPR increase from single carrier to intra-band contiguous CA.</w:t>
      </w:r>
    </w:p>
    <w:p w14:paraId="30F71433" w14:textId="722F84C6" w:rsidR="00D22174" w:rsidRDefault="00D22174" w:rsidP="009267C2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Hence, we propose to apply single carrier </w:t>
      </w:r>
      <w:r w:rsidRPr="00D22174">
        <w:rPr>
          <w:lang w:eastAsia="zh-CN"/>
        </w:rPr>
        <w:t>MPR for intra-band contiguous CA with single activated cell</w:t>
      </w:r>
      <w:r>
        <w:rPr>
          <w:lang w:eastAsia="zh-CN"/>
        </w:rPr>
        <w:t>.</w:t>
      </w:r>
    </w:p>
    <w:p w14:paraId="032874C8" w14:textId="537A4404" w:rsidR="00D22174" w:rsidRPr="00D22174" w:rsidRDefault="00D22174" w:rsidP="009267C2">
      <w:pPr>
        <w:pStyle w:val="B1"/>
        <w:ind w:left="0" w:firstLine="0"/>
        <w:rPr>
          <w:b/>
          <w:bCs/>
          <w:lang w:eastAsia="zh-CN"/>
        </w:rPr>
      </w:pPr>
      <w:r w:rsidRPr="00D22174">
        <w:rPr>
          <w:b/>
          <w:bCs/>
          <w:lang w:eastAsia="zh-CN"/>
        </w:rPr>
        <w:t xml:space="preserve">Proposal 1: Apply </w:t>
      </w:r>
      <w:r w:rsidRPr="00D22174">
        <w:rPr>
          <w:b/>
          <w:bCs/>
          <w:lang w:eastAsia="zh-CN"/>
        </w:rPr>
        <w:t>single carrier MPR for intra-band contiguous CA with single activated cell.</w:t>
      </w:r>
    </w:p>
    <w:p w14:paraId="791DBB77" w14:textId="77777777" w:rsidR="00D22174" w:rsidRDefault="00D22174" w:rsidP="009267C2">
      <w:pPr>
        <w:pStyle w:val="B1"/>
        <w:ind w:left="0" w:firstLine="0"/>
        <w:rPr>
          <w:lang w:eastAsia="zh-CN"/>
        </w:rPr>
      </w:pPr>
    </w:p>
    <w:p w14:paraId="348B5403" w14:textId="35D2B00C" w:rsidR="002A39C8" w:rsidRPr="00F13E1F" w:rsidRDefault="002A39C8" w:rsidP="009267C2">
      <w:pPr>
        <w:pStyle w:val="B1"/>
        <w:ind w:left="0" w:firstLine="0"/>
        <w:rPr>
          <w:b/>
          <w:bCs/>
          <w:u w:val="single"/>
          <w:lang w:eastAsia="zh-CN"/>
        </w:rPr>
      </w:pPr>
      <w:r w:rsidRPr="00F13E1F">
        <w:rPr>
          <w:b/>
          <w:bCs/>
          <w:u w:val="single"/>
          <w:lang w:eastAsia="zh-CN"/>
        </w:rPr>
        <w:t>ACLR/SEM/SE</w:t>
      </w:r>
      <w:r w:rsidR="00736450">
        <w:rPr>
          <w:b/>
          <w:bCs/>
          <w:u w:val="single"/>
          <w:lang w:eastAsia="zh-CN"/>
        </w:rPr>
        <w:t xml:space="preserve"> </w:t>
      </w:r>
      <w:r w:rsidR="00736450" w:rsidRPr="00F13E1F">
        <w:rPr>
          <w:b/>
          <w:bCs/>
          <w:u w:val="single"/>
          <w:lang w:eastAsia="zh-CN"/>
        </w:rPr>
        <w:t>for intra-band contiguous CA with single activated cell</w:t>
      </w:r>
    </w:p>
    <w:p w14:paraId="04EAB42B" w14:textId="77777777" w:rsidR="00AF1D13" w:rsidRDefault="00AF1D13" w:rsidP="00AF1D13">
      <w:pPr>
        <w:rPr>
          <w:lang w:val="sv-SE" w:eastAsia="ja-JP"/>
        </w:rPr>
      </w:pPr>
      <w:r>
        <w:rPr>
          <w:lang w:val="sv-SE" w:eastAsia="ja-JP"/>
        </w:rPr>
        <w:t xml:space="preserve">For spurious emissions, ACLR, and SEM, the same logic applies for uplink contiguous CA (bandwidth class B and C), e.g., for ACLR, tables below specify CA ACLR, where aggregated channel bandwidth acts as a ”virtual” larger channel bandwidth. </w:t>
      </w:r>
    </w:p>
    <w:p w14:paraId="4D2AC1E5" w14:textId="413C4AA8" w:rsidR="006C00AD" w:rsidRDefault="006C00AD" w:rsidP="006C00AD">
      <w:pPr>
        <w:rPr>
          <w:lang w:val="sv-SE" w:eastAsia="ja-JP"/>
        </w:rPr>
      </w:pPr>
      <w:r>
        <w:rPr>
          <w:lang w:val="sv-SE" w:eastAsia="ja-JP"/>
        </w:rPr>
        <w:t>It is reasonable to apply spurious emission, ACLR and SEM for single UL CC transmission for CA bandwidth class B and C</w:t>
      </w:r>
      <w:r w:rsidR="00736450">
        <w:rPr>
          <w:lang w:val="sv-SE" w:eastAsia="ja-JP"/>
        </w:rPr>
        <w:t xml:space="preserve"> based on the aggregated bandwidth.</w:t>
      </w:r>
    </w:p>
    <w:p w14:paraId="371F99F7" w14:textId="7385572C" w:rsidR="00736450" w:rsidRDefault="00736450" w:rsidP="006C00AD">
      <w:pPr>
        <w:rPr>
          <w:b/>
          <w:bCs/>
          <w:lang w:val="sv-SE" w:eastAsia="ja-JP"/>
        </w:rPr>
      </w:pPr>
      <w:r w:rsidRPr="00DF0FD1">
        <w:rPr>
          <w:b/>
          <w:bCs/>
          <w:lang w:val="sv-SE" w:eastAsia="ja-JP"/>
        </w:rPr>
        <w:t xml:space="preserve">Proposal </w:t>
      </w:r>
      <w:r>
        <w:rPr>
          <w:b/>
          <w:bCs/>
          <w:lang w:val="sv-SE" w:eastAsia="ja-JP"/>
        </w:rPr>
        <w:t>2</w:t>
      </w:r>
      <w:r w:rsidRPr="00DF0FD1">
        <w:rPr>
          <w:b/>
          <w:bCs/>
          <w:lang w:val="sv-SE" w:eastAsia="ja-JP"/>
        </w:rPr>
        <w:t>: Apply</w:t>
      </w:r>
      <w:r>
        <w:rPr>
          <w:b/>
          <w:bCs/>
          <w:lang w:val="sv-SE" w:eastAsia="ja-JP"/>
        </w:rPr>
        <w:t xml:space="preserve"> aggregated bandwidth as the basis for </w:t>
      </w:r>
      <w:r w:rsidRPr="00DF0FD1">
        <w:rPr>
          <w:b/>
          <w:bCs/>
          <w:lang w:val="sv-SE" w:eastAsia="ja-JP"/>
        </w:rPr>
        <w:t>spurious emission/ACLR/SEM requirements for contiguous UL CA with only 1 CC transmitted.</w:t>
      </w:r>
    </w:p>
    <w:p w14:paraId="7C5D4871" w14:textId="6863A21C" w:rsidR="006C00AD" w:rsidRPr="00DF0FD1" w:rsidRDefault="006C00AD" w:rsidP="006C00AD">
      <w:pPr>
        <w:rPr>
          <w:b/>
          <w:bCs/>
          <w:lang w:val="sv-SE" w:eastAsia="ja-JP"/>
        </w:rPr>
      </w:pPr>
      <w:r w:rsidRPr="00DF0FD1">
        <w:rPr>
          <w:b/>
          <w:bCs/>
          <w:lang w:val="sv-SE" w:eastAsia="ja-JP"/>
        </w:rPr>
        <w:t xml:space="preserve">Proposal </w:t>
      </w:r>
      <w:r w:rsidR="00736450">
        <w:rPr>
          <w:b/>
          <w:bCs/>
          <w:lang w:val="sv-SE" w:eastAsia="ja-JP"/>
        </w:rPr>
        <w:t>3</w:t>
      </w:r>
      <w:r w:rsidRPr="00DF0FD1">
        <w:rPr>
          <w:b/>
          <w:bCs/>
          <w:lang w:val="sv-SE" w:eastAsia="ja-JP"/>
        </w:rPr>
        <w:t>: Apply single carrier spurious emission/ACLR/SEM requirements for contiguous UL CA with only 1 CC transmitted.</w:t>
      </w:r>
    </w:p>
    <w:p w14:paraId="7CA8456E" w14:textId="77777777" w:rsidR="002A39C8" w:rsidRDefault="002A39C8" w:rsidP="009267C2">
      <w:pPr>
        <w:pStyle w:val="B1"/>
        <w:ind w:left="0" w:firstLine="0"/>
        <w:rPr>
          <w:lang w:eastAsia="zh-CN"/>
        </w:rPr>
      </w:pPr>
    </w:p>
    <w:p w14:paraId="383D39F2" w14:textId="4B4F4B4F" w:rsidR="009267C2" w:rsidRPr="00AB3D40" w:rsidRDefault="009267C2" w:rsidP="009267C2">
      <w:pPr>
        <w:pStyle w:val="Heading1"/>
        <w:rPr>
          <w:lang w:eastAsia="zh-CN"/>
        </w:rPr>
      </w:pPr>
      <w:r>
        <w:t>3 Conclusion</w:t>
      </w:r>
    </w:p>
    <w:p w14:paraId="1FE4BA07" w14:textId="0DD06354" w:rsidR="009267C2" w:rsidRDefault="003C61BE" w:rsidP="009267C2">
      <w:pPr>
        <w:pStyle w:val="B1"/>
        <w:ind w:left="0" w:firstLine="0"/>
        <w:rPr>
          <w:lang w:eastAsia="zh-CN"/>
        </w:rPr>
      </w:pPr>
      <w:r>
        <w:rPr>
          <w:lang w:eastAsia="zh-CN"/>
        </w:rPr>
        <w:t>In this contribution, we have the following observation and proposals for MPR applicability for FR1 intra-band UL CA with 1 CC transmitted:</w:t>
      </w:r>
    </w:p>
    <w:p w14:paraId="6A98E4B7" w14:textId="77777777" w:rsidR="003C61BE" w:rsidRDefault="003C61BE" w:rsidP="003C61BE">
      <w:pPr>
        <w:pStyle w:val="B1"/>
        <w:ind w:left="0" w:firstLine="0"/>
        <w:rPr>
          <w:lang w:eastAsia="zh-CN"/>
        </w:rPr>
      </w:pPr>
      <w:r w:rsidRPr="00D22174">
        <w:rPr>
          <w:b/>
          <w:bCs/>
          <w:lang w:eastAsia="zh-CN"/>
        </w:rPr>
        <w:lastRenderedPageBreak/>
        <w:t>Observation:</w:t>
      </w:r>
      <w:r>
        <w:rPr>
          <w:lang w:eastAsia="zh-CN"/>
        </w:rPr>
        <w:t xml:space="preserve"> </w:t>
      </w:r>
      <w:r w:rsidRPr="00D22174">
        <w:rPr>
          <w:b/>
          <w:bCs/>
          <w:lang w:eastAsia="zh-CN"/>
        </w:rPr>
        <w:t xml:space="preserve">Even with the same single UL transmission on one carrier, the UL performance will be degraded with the addition of an intra-band contiguous </w:t>
      </w:r>
      <w:proofErr w:type="spellStart"/>
      <w:r w:rsidRPr="00D22174">
        <w:rPr>
          <w:b/>
          <w:bCs/>
          <w:lang w:eastAsia="zh-CN"/>
        </w:rPr>
        <w:t>SCell</w:t>
      </w:r>
      <w:proofErr w:type="spellEnd"/>
      <w:r w:rsidRPr="00D22174">
        <w:rPr>
          <w:b/>
          <w:bCs/>
          <w:lang w:eastAsia="zh-CN"/>
        </w:rPr>
        <w:t xml:space="preserve"> due to MPR increase from single carrier to intra-band contiguous CA.</w:t>
      </w:r>
    </w:p>
    <w:p w14:paraId="27236C69" w14:textId="77777777" w:rsidR="003C61BE" w:rsidRPr="00D22174" w:rsidRDefault="003C61BE" w:rsidP="003C61BE">
      <w:pPr>
        <w:pStyle w:val="B1"/>
        <w:ind w:left="0" w:firstLine="0"/>
        <w:rPr>
          <w:b/>
          <w:bCs/>
          <w:lang w:eastAsia="zh-CN"/>
        </w:rPr>
      </w:pPr>
      <w:r w:rsidRPr="00D22174">
        <w:rPr>
          <w:b/>
          <w:bCs/>
          <w:lang w:eastAsia="zh-CN"/>
        </w:rPr>
        <w:t>Proposal 1: Apply single carrier MPR for intra-band contiguous CA with single activated cell.</w:t>
      </w:r>
    </w:p>
    <w:p w14:paraId="18C2F440" w14:textId="77777777" w:rsidR="003C61BE" w:rsidRDefault="003C61BE" w:rsidP="003C61BE">
      <w:pPr>
        <w:rPr>
          <w:b/>
          <w:bCs/>
          <w:lang w:val="sv-SE" w:eastAsia="ja-JP"/>
        </w:rPr>
      </w:pPr>
      <w:r w:rsidRPr="00DF0FD1">
        <w:rPr>
          <w:b/>
          <w:bCs/>
          <w:lang w:val="sv-SE" w:eastAsia="ja-JP"/>
        </w:rPr>
        <w:t xml:space="preserve">Proposal </w:t>
      </w:r>
      <w:r>
        <w:rPr>
          <w:b/>
          <w:bCs/>
          <w:lang w:val="sv-SE" w:eastAsia="ja-JP"/>
        </w:rPr>
        <w:t>2</w:t>
      </w:r>
      <w:r w:rsidRPr="00DF0FD1">
        <w:rPr>
          <w:b/>
          <w:bCs/>
          <w:lang w:val="sv-SE" w:eastAsia="ja-JP"/>
        </w:rPr>
        <w:t>: Apply</w:t>
      </w:r>
      <w:r>
        <w:rPr>
          <w:b/>
          <w:bCs/>
          <w:lang w:val="sv-SE" w:eastAsia="ja-JP"/>
        </w:rPr>
        <w:t xml:space="preserve"> aggregated bandwidth as the basis for </w:t>
      </w:r>
      <w:r w:rsidRPr="00DF0FD1">
        <w:rPr>
          <w:b/>
          <w:bCs/>
          <w:lang w:val="sv-SE" w:eastAsia="ja-JP"/>
        </w:rPr>
        <w:t>spurious emission/ACLR/SEM requirements for contiguous UL CA with only 1 CC transmitted.</w:t>
      </w:r>
    </w:p>
    <w:p w14:paraId="0A2100DD" w14:textId="77777777" w:rsidR="003C61BE" w:rsidRPr="00DF0FD1" w:rsidRDefault="003C61BE" w:rsidP="003C61BE">
      <w:pPr>
        <w:rPr>
          <w:b/>
          <w:bCs/>
          <w:lang w:val="sv-SE" w:eastAsia="ja-JP"/>
        </w:rPr>
      </w:pPr>
      <w:r w:rsidRPr="00DF0FD1">
        <w:rPr>
          <w:b/>
          <w:bCs/>
          <w:lang w:val="sv-SE" w:eastAsia="ja-JP"/>
        </w:rPr>
        <w:t xml:space="preserve">Proposal </w:t>
      </w:r>
      <w:r>
        <w:rPr>
          <w:b/>
          <w:bCs/>
          <w:lang w:val="sv-SE" w:eastAsia="ja-JP"/>
        </w:rPr>
        <w:t>3</w:t>
      </w:r>
      <w:r w:rsidRPr="00DF0FD1">
        <w:rPr>
          <w:b/>
          <w:bCs/>
          <w:lang w:val="sv-SE" w:eastAsia="ja-JP"/>
        </w:rPr>
        <w:t>: Apply single carrier spurious emission/ACLR/SEM requirements for contiguous UL CA with only 1 CC transmitted.</w:t>
      </w:r>
    </w:p>
    <w:p w14:paraId="3F6700F5" w14:textId="77777777" w:rsidR="009267C2" w:rsidRPr="003C61BE" w:rsidRDefault="009267C2" w:rsidP="009267C2">
      <w:pPr>
        <w:pStyle w:val="B1"/>
        <w:ind w:left="0" w:firstLine="0"/>
        <w:rPr>
          <w:lang w:val="sv-SE" w:eastAsia="zh-CN"/>
        </w:rPr>
      </w:pPr>
    </w:p>
    <w:p w14:paraId="74F47D6E" w14:textId="6CEEE47C" w:rsidR="009267C2" w:rsidRPr="00AB3D40" w:rsidRDefault="009267C2" w:rsidP="009267C2">
      <w:pPr>
        <w:pStyle w:val="Heading1"/>
        <w:rPr>
          <w:lang w:eastAsia="zh-CN"/>
        </w:rPr>
      </w:pPr>
      <w:r>
        <w:t>Reference</w:t>
      </w:r>
    </w:p>
    <w:p w14:paraId="627CE097" w14:textId="408FABA2" w:rsidR="009267C2" w:rsidRDefault="009267C2" w:rsidP="009267C2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[1] </w:t>
      </w:r>
      <w:r w:rsidR="00BA7B12">
        <w:rPr>
          <w:lang w:eastAsia="zh-CN"/>
        </w:rPr>
        <w:t>R4-2414441, “</w:t>
      </w:r>
      <w:r w:rsidR="00BA7B12" w:rsidRPr="00BA7B12">
        <w:rPr>
          <w:lang w:eastAsia="zh-CN"/>
        </w:rPr>
        <w:t>WF on power domain enhancements</w:t>
      </w:r>
      <w:r w:rsidR="00BA7B12">
        <w:rPr>
          <w:lang w:eastAsia="zh-CN"/>
        </w:rPr>
        <w:t>”, Huawei</w:t>
      </w:r>
    </w:p>
    <w:p w14:paraId="2370BD97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4B7C691F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2B5EF547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0FC94A8A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sectPr w:rsidR="009267C2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6723F0" w14:textId="77777777" w:rsidR="0087003F" w:rsidRPr="00A10429" w:rsidRDefault="0087003F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69F3F46C" w14:textId="77777777" w:rsidR="0087003F" w:rsidRPr="00A10429" w:rsidRDefault="0087003F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87FAF3" w14:textId="77777777" w:rsidR="0087003F" w:rsidRPr="00A10429" w:rsidRDefault="0087003F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71009B08" w14:textId="77777777" w:rsidR="0087003F" w:rsidRPr="00A10429" w:rsidRDefault="0087003F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B5C5CD6"/>
    <w:multiLevelType w:val="hybridMultilevel"/>
    <w:tmpl w:val="9438CE08"/>
    <w:lvl w:ilvl="0" w:tplc="04090003">
      <w:start w:val="1"/>
      <w:numFmt w:val="bullet"/>
      <w:lvlText w:val="o"/>
      <w:lvlJc w:val="left"/>
      <w:pPr>
        <w:ind w:left="185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7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1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8B73482"/>
    <w:multiLevelType w:val="hybridMultilevel"/>
    <w:tmpl w:val="5B0EC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EC07968">
      <w:start w:val="2"/>
      <w:numFmt w:val="bullet"/>
      <w:lvlText w:val="-"/>
      <w:lvlJc w:val="left"/>
      <w:pPr>
        <w:ind w:left="1080" w:hanging="360"/>
      </w:pPr>
      <w:rPr>
        <w:rFonts w:ascii="New York" w:eastAsia="New York" w:hAnsi="New York" w:cs="SimSun" w:hint="eastAsia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B6568FB"/>
    <w:multiLevelType w:val="hybridMultilevel"/>
    <w:tmpl w:val="54CEFC3A"/>
    <w:lvl w:ilvl="0" w:tplc="C18CA21A">
      <w:start w:val="2"/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3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4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25"/>
  </w:num>
  <w:num w:numId="2" w16cid:durableId="767700499">
    <w:abstractNumId w:val="13"/>
  </w:num>
  <w:num w:numId="3" w16cid:durableId="980884213">
    <w:abstractNumId w:val="24"/>
  </w:num>
  <w:num w:numId="4" w16cid:durableId="1846701611">
    <w:abstractNumId w:val="12"/>
  </w:num>
  <w:num w:numId="5" w16cid:durableId="699012852">
    <w:abstractNumId w:val="4"/>
  </w:num>
  <w:num w:numId="6" w16cid:durableId="1450201014">
    <w:abstractNumId w:val="18"/>
  </w:num>
  <w:num w:numId="7" w16cid:durableId="1073939429">
    <w:abstractNumId w:val="3"/>
  </w:num>
  <w:num w:numId="8" w16cid:durableId="214005466">
    <w:abstractNumId w:val="17"/>
  </w:num>
  <w:num w:numId="9" w16cid:durableId="1446921232">
    <w:abstractNumId w:val="25"/>
  </w:num>
  <w:num w:numId="10" w16cid:durableId="1699429464">
    <w:abstractNumId w:val="25"/>
  </w:num>
  <w:num w:numId="11" w16cid:durableId="1062680395">
    <w:abstractNumId w:val="1"/>
  </w:num>
  <w:num w:numId="12" w16cid:durableId="2118793171">
    <w:abstractNumId w:val="8"/>
  </w:num>
  <w:num w:numId="13" w16cid:durableId="1243837963">
    <w:abstractNumId w:val="7"/>
  </w:num>
  <w:num w:numId="14" w16cid:durableId="1296058729">
    <w:abstractNumId w:val="23"/>
  </w:num>
  <w:num w:numId="15" w16cid:durableId="1988124532">
    <w:abstractNumId w:val="25"/>
  </w:num>
  <w:num w:numId="16" w16cid:durableId="563225832">
    <w:abstractNumId w:val="25"/>
  </w:num>
  <w:num w:numId="17" w16cid:durableId="599262311">
    <w:abstractNumId w:val="16"/>
  </w:num>
  <w:num w:numId="18" w16cid:durableId="161748096">
    <w:abstractNumId w:val="26"/>
  </w:num>
  <w:num w:numId="19" w16cid:durableId="573126915">
    <w:abstractNumId w:val="25"/>
  </w:num>
  <w:num w:numId="20" w16cid:durableId="2004045065">
    <w:abstractNumId w:val="5"/>
  </w:num>
  <w:num w:numId="21" w16cid:durableId="584807274">
    <w:abstractNumId w:val="25"/>
  </w:num>
  <w:num w:numId="22" w16cid:durableId="181170718">
    <w:abstractNumId w:val="25"/>
  </w:num>
  <w:num w:numId="23" w16cid:durableId="1139999911">
    <w:abstractNumId w:val="9"/>
  </w:num>
  <w:num w:numId="24" w16cid:durableId="986275603">
    <w:abstractNumId w:val="2"/>
  </w:num>
  <w:num w:numId="25" w16cid:durableId="757677477">
    <w:abstractNumId w:val="0"/>
  </w:num>
  <w:num w:numId="26" w16cid:durableId="416564558">
    <w:abstractNumId w:val="10"/>
  </w:num>
  <w:num w:numId="27" w16cid:durableId="119879853">
    <w:abstractNumId w:val="11"/>
  </w:num>
  <w:num w:numId="28" w16cid:durableId="375130886">
    <w:abstractNumId w:val="19"/>
  </w:num>
  <w:num w:numId="29" w16cid:durableId="381445059">
    <w:abstractNumId w:val="20"/>
  </w:num>
  <w:num w:numId="30" w16cid:durableId="2003196174">
    <w:abstractNumId w:val="15"/>
  </w:num>
  <w:num w:numId="31" w16cid:durableId="886913614">
    <w:abstractNumId w:val="14"/>
  </w:num>
  <w:num w:numId="32" w16cid:durableId="1961185643">
    <w:abstractNumId w:val="21"/>
  </w:num>
  <w:num w:numId="33" w16cid:durableId="1768498814">
    <w:abstractNumId w:val="22"/>
  </w:num>
  <w:num w:numId="34" w16cid:durableId="805776030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oNotDisplayPageBoundaries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6DE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296A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4F9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2765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67C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073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39C8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0CB6"/>
    <w:rsid w:val="002D1314"/>
    <w:rsid w:val="002D3534"/>
    <w:rsid w:val="002D3DE1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4F79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5C17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1BE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22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2C8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47B57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4FF5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0AD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450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14BA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384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6268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03F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6C0A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67C2"/>
    <w:rsid w:val="009276B3"/>
    <w:rsid w:val="00927894"/>
    <w:rsid w:val="00930120"/>
    <w:rsid w:val="0093146E"/>
    <w:rsid w:val="00931B7C"/>
    <w:rsid w:val="00933182"/>
    <w:rsid w:val="00933AFF"/>
    <w:rsid w:val="00934C57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341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4927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14E"/>
    <w:rsid w:val="00AE65B1"/>
    <w:rsid w:val="00AF103F"/>
    <w:rsid w:val="00AF1D13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05B2E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1F7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875A0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0B3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A7B12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1E7E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399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6A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11DF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6A21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174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17FBD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2171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2CF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6CA5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1F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3DF2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2E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76B2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76B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76B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76B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76B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76B2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76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E76B29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E76B29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清單段落1,列出段落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E76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76B29"/>
    <w:pPr>
      <w:ind w:left="1701" w:hanging="1701"/>
    </w:pPr>
  </w:style>
  <w:style w:type="paragraph" w:styleId="TOC4">
    <w:name w:val="toc 4"/>
    <w:basedOn w:val="TOC3"/>
    <w:semiHidden/>
    <w:rsid w:val="00E76B29"/>
    <w:pPr>
      <w:ind w:left="1418" w:hanging="1418"/>
    </w:pPr>
  </w:style>
  <w:style w:type="paragraph" w:styleId="TOC3">
    <w:name w:val="toc 3"/>
    <w:basedOn w:val="TOC2"/>
    <w:semiHidden/>
    <w:rsid w:val="00E76B29"/>
    <w:pPr>
      <w:ind w:left="1134" w:hanging="1134"/>
    </w:pPr>
  </w:style>
  <w:style w:type="paragraph" w:styleId="TOC2">
    <w:name w:val="toc 2"/>
    <w:basedOn w:val="TOC1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6B29"/>
    <w:pPr>
      <w:ind w:left="284"/>
    </w:pPr>
  </w:style>
  <w:style w:type="paragraph" w:styleId="Index1">
    <w:name w:val="index 1"/>
    <w:basedOn w:val="Normal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76B29"/>
    <w:pPr>
      <w:outlineLvl w:val="9"/>
    </w:pPr>
  </w:style>
  <w:style w:type="paragraph" w:styleId="ListNumber2">
    <w:name w:val="List Number 2"/>
    <w:basedOn w:val="ListNumber"/>
    <w:semiHidden/>
    <w:rsid w:val="00E76B29"/>
    <w:pPr>
      <w:ind w:left="851"/>
    </w:pPr>
  </w:style>
  <w:style w:type="character" w:styleId="FootnoteReference">
    <w:name w:val="footnote reference"/>
    <w:basedOn w:val="DefaultParagraphFont"/>
    <w:semiHidden/>
    <w:rsid w:val="00E76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Normal"/>
    <w:rsid w:val="00E76B29"/>
    <w:pPr>
      <w:keepLines/>
      <w:ind w:left="1135" w:hanging="851"/>
    </w:pPr>
  </w:style>
  <w:style w:type="paragraph" w:styleId="TOC9">
    <w:name w:val="toc 9"/>
    <w:basedOn w:val="TOC8"/>
    <w:semiHidden/>
    <w:rsid w:val="00E76B29"/>
    <w:pPr>
      <w:ind w:left="1418" w:hanging="1418"/>
    </w:pPr>
  </w:style>
  <w:style w:type="paragraph" w:customStyle="1" w:styleId="EX">
    <w:name w:val="EX"/>
    <w:basedOn w:val="Normal"/>
    <w:rsid w:val="00E76B29"/>
    <w:pPr>
      <w:keepLines/>
      <w:ind w:left="1702" w:hanging="1418"/>
    </w:pPr>
  </w:style>
  <w:style w:type="paragraph" w:customStyle="1" w:styleId="FP">
    <w:name w:val="FP"/>
    <w:basedOn w:val="Normal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TOC6">
    <w:name w:val="toc 6"/>
    <w:basedOn w:val="TOC5"/>
    <w:next w:val="Normal"/>
    <w:semiHidden/>
    <w:rsid w:val="00E76B29"/>
    <w:pPr>
      <w:ind w:left="1985" w:hanging="1985"/>
    </w:pPr>
  </w:style>
  <w:style w:type="paragraph" w:styleId="TOC7">
    <w:name w:val="toc 7"/>
    <w:basedOn w:val="TOC6"/>
    <w:next w:val="Normal"/>
    <w:semiHidden/>
    <w:rsid w:val="00E76B29"/>
    <w:pPr>
      <w:ind w:left="2268" w:hanging="2268"/>
    </w:pPr>
  </w:style>
  <w:style w:type="paragraph" w:styleId="ListBullet2">
    <w:name w:val="List Bullet 2"/>
    <w:basedOn w:val="ListBullet"/>
    <w:semiHidden/>
    <w:rsid w:val="00E76B29"/>
    <w:pPr>
      <w:ind w:left="851"/>
    </w:pPr>
  </w:style>
  <w:style w:type="paragraph" w:styleId="ListBullet3">
    <w:name w:val="List Bullet 3"/>
    <w:basedOn w:val="ListBullet2"/>
    <w:semiHidden/>
    <w:rsid w:val="00E76B29"/>
    <w:pPr>
      <w:ind w:left="1135"/>
    </w:pPr>
  </w:style>
  <w:style w:type="paragraph" w:styleId="ListNumber">
    <w:name w:val="List Number"/>
    <w:basedOn w:val="List"/>
    <w:semiHidden/>
    <w:rsid w:val="00E76B29"/>
  </w:style>
  <w:style w:type="paragraph" w:customStyle="1" w:styleId="EQ">
    <w:name w:val="EQ"/>
    <w:basedOn w:val="Normal"/>
    <w:next w:val="Normal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Heading5"/>
    <w:next w:val="Normal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List2">
    <w:name w:val="List 2"/>
    <w:basedOn w:val="List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76B29"/>
    <w:pPr>
      <w:ind w:left="1135"/>
    </w:pPr>
  </w:style>
  <w:style w:type="paragraph" w:styleId="List4">
    <w:name w:val="List 4"/>
    <w:basedOn w:val="List3"/>
    <w:semiHidden/>
    <w:rsid w:val="00E76B29"/>
    <w:pPr>
      <w:ind w:left="1418"/>
    </w:pPr>
  </w:style>
  <w:style w:type="paragraph" w:styleId="List5">
    <w:name w:val="List 5"/>
    <w:basedOn w:val="List4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List">
    <w:name w:val="List"/>
    <w:basedOn w:val="Normal"/>
    <w:semiHidden/>
    <w:rsid w:val="00E76B29"/>
    <w:pPr>
      <w:ind w:left="568" w:hanging="284"/>
    </w:pPr>
  </w:style>
  <w:style w:type="paragraph" w:styleId="ListBullet">
    <w:name w:val="List Bullet"/>
    <w:basedOn w:val="List"/>
    <w:semiHidden/>
    <w:rsid w:val="00E76B29"/>
  </w:style>
  <w:style w:type="paragraph" w:styleId="ListBullet4">
    <w:name w:val="List Bullet 4"/>
    <w:basedOn w:val="ListBullet3"/>
    <w:semiHidden/>
    <w:rsid w:val="00E76B29"/>
    <w:pPr>
      <w:ind w:left="1418"/>
    </w:pPr>
  </w:style>
  <w:style w:type="paragraph" w:styleId="ListBullet5">
    <w:name w:val="List Bullet 5"/>
    <w:basedOn w:val="ListBullet4"/>
    <w:semiHidden/>
    <w:rsid w:val="00E76B29"/>
    <w:pPr>
      <w:ind w:left="1702"/>
    </w:pPr>
  </w:style>
  <w:style w:type="paragraph" w:customStyle="1" w:styleId="B1">
    <w:name w:val="B1"/>
    <w:basedOn w:val="List"/>
    <w:rsid w:val="00E76B29"/>
  </w:style>
  <w:style w:type="paragraph" w:customStyle="1" w:styleId="B2">
    <w:name w:val="B2"/>
    <w:basedOn w:val="List2"/>
    <w:rsid w:val="00E76B29"/>
  </w:style>
  <w:style w:type="paragraph" w:customStyle="1" w:styleId="B3">
    <w:name w:val="B3"/>
    <w:basedOn w:val="List3"/>
    <w:rsid w:val="00E76B29"/>
  </w:style>
  <w:style w:type="paragraph" w:customStyle="1" w:styleId="B4">
    <w:name w:val="B4"/>
    <w:basedOn w:val="List4"/>
    <w:rsid w:val="00E76B29"/>
  </w:style>
  <w:style w:type="paragraph" w:customStyle="1" w:styleId="B5">
    <w:name w:val="B5"/>
    <w:basedOn w:val="List5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清單段落1 Char"/>
    <w:link w:val="ListParagraph"/>
    <w:uiPriority w:val="34"/>
    <w:qFormat/>
    <w:locked/>
    <w:rsid w:val="002A39C8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</TotalTime>
  <Pages>3</Pages>
  <Words>885</Words>
  <Characters>5051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5925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AC</cp:lastModifiedBy>
  <cp:revision>16</cp:revision>
  <dcterms:created xsi:type="dcterms:W3CDTF">2024-10-07T07:31:00Z</dcterms:created>
  <dcterms:modified xsi:type="dcterms:W3CDTF">2024-10-07T09:36:00Z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